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AE" w:rsidRDefault="00700BAE" w:rsidP="00700BAE">
      <w:pPr>
        <w:pStyle w:val="Heading1"/>
        <w:shd w:val="clear" w:color="auto" w:fill="F9F9F9"/>
        <w:spacing w:before="0" w:beforeAutospacing="0" w:after="167" w:afterAutospacing="0" w:line="342" w:lineRule="atLeast"/>
        <w:jc w:val="center"/>
        <w:textAlignment w:val="baseline"/>
        <w:rPr>
          <w:rFonts w:ascii="Trebuchet MS" w:hAnsi="Trebuchet MS"/>
          <w:color w:val="2F2F2F"/>
          <w:sz w:val="36"/>
          <w:szCs w:val="36"/>
        </w:rPr>
      </w:pPr>
      <w:r w:rsidRPr="00700BAE">
        <w:rPr>
          <w:rFonts w:ascii="Trebuchet MS" w:hAnsi="Trebuchet MS"/>
          <w:color w:val="2F2F2F"/>
          <w:sz w:val="36"/>
          <w:szCs w:val="36"/>
        </w:rPr>
        <w:t xml:space="preserve">Loving </w:t>
      </w:r>
      <w:proofErr w:type="spellStart"/>
      <w:r w:rsidRPr="00700BAE">
        <w:rPr>
          <w:rFonts w:ascii="Trebuchet MS" w:hAnsi="Trebuchet MS"/>
          <w:color w:val="2F2F2F"/>
          <w:sz w:val="36"/>
          <w:szCs w:val="36"/>
        </w:rPr>
        <w:t>Allāh</w:t>
      </w:r>
      <w:proofErr w:type="spellEnd"/>
      <w:r w:rsidRPr="00700BAE">
        <w:rPr>
          <w:rFonts w:ascii="Trebuchet MS" w:hAnsi="Trebuchet MS"/>
          <w:color w:val="2F2F2F"/>
          <w:sz w:val="36"/>
          <w:szCs w:val="36"/>
        </w:rPr>
        <w:t xml:space="preserve"> and gaining His Love</w:t>
      </w:r>
    </w:p>
    <w:p w:rsidR="00700BAE" w:rsidRPr="00700BAE" w:rsidRDefault="00700BAE" w:rsidP="00700BAE">
      <w:pPr>
        <w:pStyle w:val="Heading1"/>
        <w:shd w:val="clear" w:color="auto" w:fill="F9F9F9"/>
        <w:spacing w:before="0" w:beforeAutospacing="0" w:after="167" w:afterAutospacing="0" w:line="342" w:lineRule="atLeast"/>
        <w:jc w:val="center"/>
        <w:textAlignment w:val="baseline"/>
        <w:rPr>
          <w:rFonts w:ascii="Trebuchet MS" w:hAnsi="Trebuchet MS"/>
          <w:color w:val="2F2F2F"/>
          <w:sz w:val="36"/>
          <w:szCs w:val="36"/>
        </w:rPr>
      </w:pPr>
    </w:p>
    <w:p w:rsidR="00700BAE" w:rsidRPr="00700BAE" w:rsidRDefault="00700BAE" w:rsidP="00700BAE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proofErr w:type="gram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source</w:t>
      </w:r>
      <w:proofErr w:type="gram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bidāyat</w:t>
      </w:r>
      <w:proofErr w:type="spell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us-</w:t>
      </w:r>
      <w:proofErr w:type="spell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sūl</w:t>
      </w:r>
      <w:proofErr w:type="spell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fi</w:t>
      </w:r>
      <w:proofErr w:type="spell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tafdhīl</w:t>
      </w:r>
      <w:proofErr w:type="spell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ir-rasūl</w:t>
      </w:r>
      <w:proofErr w:type="spell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~ …the superiority of the Messenger (of </w:t>
      </w:r>
      <w:proofErr w:type="spellStart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Allāh</w:t>
      </w:r>
      <w:proofErr w:type="spellEnd"/>
      <w:r w:rsidRPr="00700BAE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)  ~ page no. 5-7</w:t>
      </w:r>
    </w:p>
    <w:p w:rsidR="00700BAE" w:rsidRPr="00700BAE" w:rsidRDefault="00700BAE" w:rsidP="00700BAE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Shaykh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Albānī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says in his introduction: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br/>
        <w:t xml:space="preserve">“Know, O Muslim brother, that it is not possible for anyone to rise to this station of loving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and His Messenger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except by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tawhīd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(singling out)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, the Most High, alone in His worship, and by singling out the Prophet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alone for following from among the servants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, due to (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Allāh’s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) statement: ‘He who obeys the Messenger (Muhammad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)) has indeed obeyed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’[1] and His statement ‘Say (O Muhammad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to mankind): ‘If you (really) love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then follow me (i.e. accept Islamic Monotheism, follow the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Qur’ān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and the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Sunnah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),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will love you.’’[2] And (the Prophet)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said: ‘No, by the One in whose Hand my soul is, if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Mūsā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was alive, he would have no choice but to follow me.’[3] I say: so if someone like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Mūsā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, the one who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spoke to (directly), cannot follow other than the Prophet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>), then can anyone else do that? Hence, this is one of the definite evidences of the obligation of singling out the Prophet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in following, which is one of the requirements of the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shahāda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(testimony): ‘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anna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proofErr w:type="gram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muhammad</w:t>
      </w:r>
      <w:proofErr w:type="spellEnd"/>
      <w:proofErr w:type="gram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ar-rasūlullāh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(that Muhammad is the Messenger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).’ Therefore,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, the Blessed and Most High, in the before-mentioned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āyah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, made following him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alone to be a proof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Allāh’s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love for (the follower). And there is no doubt that whoever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loves,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is with him in everything, as occurs in the authentic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hadīth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Qudsī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:[4] ‘(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says), ‘My slave does not come near to me with anything more beloved to me than that 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lastRenderedPageBreak/>
        <w:t xml:space="preserve">which I have made obligatory upon him, and My slave continues to come near me with supererogatory deeds until I love him; and when I love him, I am his hearing with which he hears, his sight with which he sees, his hand with which he grasps and his leg with which he walks.[5] And if he asks me, I will surely give him, and if he seeks refuge in Me, I will surely protect him . . .’[6] And if this divine care is only for the beloved slave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, it is obligatory upon every Muslim to take the means which will make him beloved to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, namely following the Messenger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alone; and just by that, he will attain special care from his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Mawlā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>[7], the Blessed and Most High. Don’t you see that it is not possible to know the obligatory duties and distinguish them from the supererogatory acts except by following him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) alone? And indeed there is no doubt that the more the Muslim learns about the biography of the Messenger of </w:t>
      </w:r>
      <w:proofErr w:type="spell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Allāh</w:t>
      </w:r>
      <w:proofErr w:type="spell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(</w:t>
      </w:r>
      <w:r w:rsidRPr="00700BAE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700BAE">
        <w:rPr>
          <w:rFonts w:ascii="Arial" w:eastAsia="Times New Roman" w:hAnsi="Arial" w:cs="Arial"/>
          <w:color w:val="444444"/>
          <w:sz w:val="30"/>
          <w:szCs w:val="30"/>
        </w:rPr>
        <w:t>) and knows of his pleasant nature and virtues, the more his love for him will be and the more extensive and comprehensive his following of him will be.”</w:t>
      </w:r>
    </w:p>
    <w:p w:rsidR="00700BAE" w:rsidRPr="00700BAE" w:rsidRDefault="00700BAE" w:rsidP="00700BAE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~ </w:t>
      </w:r>
      <w:proofErr w:type="spellStart"/>
      <w:proofErr w:type="gramStart"/>
      <w:r w:rsidRPr="00700BAE">
        <w:rPr>
          <w:rFonts w:ascii="Arial" w:eastAsia="Times New Roman" w:hAnsi="Arial" w:cs="Arial"/>
          <w:color w:val="444444"/>
          <w:sz w:val="30"/>
          <w:szCs w:val="30"/>
        </w:rPr>
        <w:t>asaheeha</w:t>
      </w:r>
      <w:proofErr w:type="spellEnd"/>
      <w:proofErr w:type="gramEnd"/>
      <w:r w:rsidRPr="00700BAE">
        <w:rPr>
          <w:rFonts w:ascii="Arial" w:eastAsia="Times New Roman" w:hAnsi="Arial" w:cs="Arial"/>
          <w:color w:val="444444"/>
          <w:sz w:val="30"/>
          <w:szCs w:val="30"/>
        </w:rPr>
        <w:t xml:space="preserve"> translations ~</w:t>
      </w:r>
    </w:p>
    <w:p w:rsidR="00AB3957" w:rsidRPr="00700BAE" w:rsidRDefault="00700BAE" w:rsidP="00700BAE">
      <w:pPr>
        <w:jc w:val="right"/>
        <w:rPr>
          <w:rtl/>
          <w:lang w:bidi="ar-EG"/>
        </w:rPr>
      </w:pP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[1]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Sūrat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un-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Nisā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, 4:80</w:t>
      </w:r>
      <w:r w:rsidRPr="00700BAE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[2]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Sūrah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Āl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ʽImrān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, 3:31</w:t>
      </w:r>
      <w:r w:rsidRPr="00700BAE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[3]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Shaykh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al-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Albāni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adds the following footnote: “Ad-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Dāramī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, Ahmad and Abu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Nuʽaym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narrated it from the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hadīth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of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Jābir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bin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ʽAbdillāh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, and it is a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hasan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(good)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hadīth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as I clarified in ‘Al-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Mishkāh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’ and others”</w:t>
      </w:r>
      <w:r w:rsidRPr="00700BAE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[4] a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hadīth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in which the Prophet (</w:t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  <w:rtl/>
        </w:rPr>
        <w:t>صلى الله عليه وسلم</w:t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) narrates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Allāh’s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Speech from Him</w:t>
      </w:r>
      <w:r w:rsidRPr="00700BAE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[5] i.e.,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Allāh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directs his hearing, sight, actions with his hand and his walking to only that which is good; refer to Explanatory Notes on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Imām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an-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Nawawī’s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Forty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Ahādīth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(Revisited) by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Shaykh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Muhammad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ibn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Sālih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al-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ʽUthaymīn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(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rahimahullāh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), p. 250-251</w:t>
      </w:r>
      <w:r w:rsidRPr="00700BAE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[6]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Sahīh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al-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Bukhārī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#6502</w:t>
      </w:r>
      <w:r w:rsidRPr="00700BAE">
        <w:rPr>
          <w:rFonts w:ascii="Arial" w:eastAsia="Times New Roman" w:hAnsi="Arial" w:cs="Arial"/>
          <w:color w:val="5E6066"/>
          <w:sz w:val="20"/>
          <w:szCs w:val="20"/>
        </w:rPr>
        <w:br/>
      </w:r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[7] Lord, Helper, Protector, etc.; refer to Translation of the meanings of the Noble 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Qur’ān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in the English Language by al-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Hilāli</w:t>
      </w:r>
      <w:proofErr w:type="spellEnd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/</w:t>
      </w:r>
      <w:proofErr w:type="spellStart"/>
      <w:r w:rsidRPr="00700BAE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Khān</w:t>
      </w:r>
      <w:proofErr w:type="spellEnd"/>
    </w:p>
    <w:sectPr w:rsidR="00AB3957" w:rsidRPr="00700BA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5296"/>
    <w:rsid w:val="0012644C"/>
    <w:rsid w:val="0017421B"/>
    <w:rsid w:val="002403E8"/>
    <w:rsid w:val="002E30E1"/>
    <w:rsid w:val="00382BC2"/>
    <w:rsid w:val="004B7A40"/>
    <w:rsid w:val="004F6355"/>
    <w:rsid w:val="00583869"/>
    <w:rsid w:val="00700BAE"/>
    <w:rsid w:val="00754100"/>
    <w:rsid w:val="00792420"/>
    <w:rsid w:val="008B5296"/>
    <w:rsid w:val="00A12903"/>
    <w:rsid w:val="00A47F33"/>
    <w:rsid w:val="00AB3957"/>
    <w:rsid w:val="00AF1ED1"/>
    <w:rsid w:val="00DA6A52"/>
    <w:rsid w:val="00DB4484"/>
    <w:rsid w:val="00E1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33"/>
    <w:pPr>
      <w:bidi/>
    </w:pPr>
  </w:style>
  <w:style w:type="paragraph" w:styleId="Heading1">
    <w:name w:val="heading 1"/>
    <w:basedOn w:val="Normal"/>
    <w:link w:val="Heading1Char"/>
    <w:uiPriority w:val="9"/>
    <w:qFormat/>
    <w:rsid w:val="008B529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5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ED1"/>
    <w:rPr>
      <w:b/>
      <w:bCs/>
    </w:rPr>
  </w:style>
  <w:style w:type="character" w:customStyle="1" w:styleId="apple-converted-space">
    <w:name w:val="apple-converted-space"/>
    <w:basedOn w:val="DefaultParagraphFont"/>
    <w:rsid w:val="00AF1ED1"/>
  </w:style>
  <w:style w:type="character" w:styleId="Emphasis">
    <w:name w:val="Emphasis"/>
    <w:basedOn w:val="DefaultParagraphFont"/>
    <w:uiPriority w:val="20"/>
    <w:qFormat/>
    <w:rsid w:val="00AF1E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2015-01-02T13:37:00Z</cp:lastPrinted>
  <dcterms:created xsi:type="dcterms:W3CDTF">2015-01-02T13:41:00Z</dcterms:created>
  <dcterms:modified xsi:type="dcterms:W3CDTF">2015-01-02T13:41:00Z</dcterms:modified>
</cp:coreProperties>
</file>